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091E" w14:textId="77777777" w:rsidR="000D607C" w:rsidRDefault="000D607C">
      <w:pPr>
        <w:rPr>
          <w:sz w:val="24"/>
          <w:szCs w:val="24"/>
        </w:rPr>
      </w:pPr>
    </w:p>
    <w:p w14:paraId="1B5AC9E4" w14:textId="77777777" w:rsidR="000D607C" w:rsidRDefault="000D607C">
      <w:pPr>
        <w:rPr>
          <w:b/>
          <w:bCs/>
          <w:sz w:val="48"/>
          <w:szCs w:val="48"/>
        </w:rPr>
      </w:pPr>
      <w:r w:rsidRPr="000D607C">
        <w:rPr>
          <w:b/>
          <w:bCs/>
          <w:sz w:val="48"/>
          <w:szCs w:val="48"/>
        </w:rPr>
        <w:t>Informacja dla sygnalistów</w:t>
      </w:r>
    </w:p>
    <w:p w14:paraId="0F478A1C" w14:textId="15BD5DBD" w:rsidR="000D607C" w:rsidRPr="000D607C" w:rsidRDefault="000D60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Wyjaśnienie pojęć</w:t>
      </w:r>
    </w:p>
    <w:p w14:paraId="3FCED89A" w14:textId="77777777" w:rsidR="000D607C" w:rsidRDefault="000D607C" w:rsidP="000D607C">
      <w:pPr>
        <w:rPr>
          <w:sz w:val="24"/>
          <w:szCs w:val="24"/>
        </w:rPr>
      </w:pPr>
      <w:r>
        <w:rPr>
          <w:sz w:val="24"/>
          <w:szCs w:val="24"/>
        </w:rPr>
        <w:t>Sygnalistą jest osoba fizyczna, która zgłasza lub ujawnia publicznie informację o naruszeniu prawa uzyskaną w kontekście związanym z pracą, w tym:</w:t>
      </w:r>
    </w:p>
    <w:p w14:paraId="7D587331" w14:textId="77777777" w:rsidR="000D607C" w:rsidRDefault="000D607C" w:rsidP="000D607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pracownik;</w:t>
      </w:r>
    </w:p>
    <w:p w14:paraId="45482A8B" w14:textId="77777777" w:rsidR="000D607C" w:rsidRDefault="000D607C" w:rsidP="000D607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pracownik tymczasowy;</w:t>
      </w:r>
    </w:p>
    <w:p w14:paraId="7C94E731" w14:textId="77777777" w:rsidR="000D607C" w:rsidRDefault="000D607C" w:rsidP="000D607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osoba świadcząca pracę na innej podstawie niż stosunek pracy, w tym na podstawie umowy cywilnoprawnej;</w:t>
      </w:r>
    </w:p>
    <w:p w14:paraId="777634B0" w14:textId="77777777" w:rsidR="000D607C" w:rsidRDefault="000D607C" w:rsidP="000D607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przedsiębiorca ;</w:t>
      </w:r>
    </w:p>
    <w:p w14:paraId="0CD047BD" w14:textId="77777777" w:rsidR="000D607C" w:rsidRDefault="000D607C" w:rsidP="000D607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prokurent;</w:t>
      </w:r>
    </w:p>
    <w:p w14:paraId="2D5CE49E" w14:textId="77777777" w:rsidR="000D607C" w:rsidRDefault="000D607C" w:rsidP="000D607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akcjonariusz  lub wspólnik;</w:t>
      </w:r>
    </w:p>
    <w:p w14:paraId="5FBB5BC3" w14:textId="77777777" w:rsidR="000D607C" w:rsidRDefault="000D607C" w:rsidP="000D607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członek organu osoby prawnej lub jednostki organizacyjnej nieposiadającej osobowości prawnej;</w:t>
      </w:r>
    </w:p>
    <w:p w14:paraId="31BC23EE" w14:textId="77777777" w:rsidR="000D607C" w:rsidRDefault="000D607C" w:rsidP="000D607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osoba świadcząca pracę pod nadzorem i kierownictwem wykonawcy, podwykonawcy lub dostawcy;</w:t>
      </w:r>
    </w:p>
    <w:p w14:paraId="19BB1E01" w14:textId="77777777" w:rsidR="000D607C" w:rsidRDefault="000D607C" w:rsidP="000D607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stażysta;</w:t>
      </w:r>
    </w:p>
    <w:p w14:paraId="3A7ADD36" w14:textId="77777777" w:rsidR="000D607C" w:rsidRDefault="000D607C" w:rsidP="000D607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wolontariusz;</w:t>
      </w:r>
    </w:p>
    <w:p w14:paraId="16853A16" w14:textId="77777777" w:rsidR="000D607C" w:rsidRDefault="000D607C" w:rsidP="000D607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praktykant;</w:t>
      </w:r>
    </w:p>
    <w:p w14:paraId="10120CD3" w14:textId="77777777" w:rsidR="000D607C" w:rsidRDefault="000D607C" w:rsidP="000D607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Służby Granicznej, Straży Marszałkowskiej, Służby Ochrony Państwa, Państwowej Straży Pożarnej, Służby Celno-Skarbowej i Służby Więziennej oraz ich rodzin (Dz. U. z 2023 r. 1280, 1429, i 1834);</w:t>
      </w:r>
    </w:p>
    <w:p w14:paraId="766436DE" w14:textId="04487C7C" w:rsidR="000D607C" w:rsidRPr="000D607C" w:rsidRDefault="000D607C" w:rsidP="000D607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żołnierzy w rozumieniu art. 2 pkt 39 ustawy z dnia 11 marca 2022 r. o obronie Ojczyzny(Dz. U. z 2024 r. poz. 248 i 834).</w:t>
      </w:r>
      <w:bookmarkStart w:id="0" w:name="_Hlk185230819"/>
    </w:p>
    <w:bookmarkEnd w:id="0"/>
    <w:p w14:paraId="0D08314B" w14:textId="77777777" w:rsidR="000D607C" w:rsidRDefault="000D607C" w:rsidP="000D607C">
      <w:pPr>
        <w:rPr>
          <w:sz w:val="24"/>
          <w:szCs w:val="24"/>
        </w:rPr>
      </w:pPr>
      <w:r>
        <w:rPr>
          <w:sz w:val="24"/>
          <w:szCs w:val="24"/>
        </w:rPr>
        <w:t>Podmiot prawny – należy przez to rozumieć podmiot prywatny lub podmiot publiczny.</w:t>
      </w:r>
    </w:p>
    <w:p w14:paraId="0E57CF8F" w14:textId="77777777" w:rsidR="000D607C" w:rsidRDefault="000D607C" w:rsidP="000D607C">
      <w:pPr>
        <w:rPr>
          <w:sz w:val="24"/>
          <w:szCs w:val="24"/>
        </w:rPr>
      </w:pPr>
      <w:r>
        <w:rPr>
          <w:sz w:val="24"/>
          <w:szCs w:val="24"/>
        </w:rPr>
        <w:t>Podmiot prywatny - należy przez to rozumieć osobę fizyczną prowadzącą działalność gospodarczą, osobę prawną lub jednostkę organizacyjną nieposiadającą osobowości prawnej, której ustawa przyznaje zdolność prawną lub pracodawcę, jeżeli nie są podmiotami publicznymi.</w:t>
      </w:r>
    </w:p>
    <w:p w14:paraId="0F90C8CF" w14:textId="77777777" w:rsidR="006402F1" w:rsidRDefault="006402F1" w:rsidP="000D607C">
      <w:pPr>
        <w:rPr>
          <w:sz w:val="24"/>
          <w:szCs w:val="24"/>
        </w:rPr>
      </w:pPr>
    </w:p>
    <w:p w14:paraId="68C95235" w14:textId="77777777" w:rsidR="000D607C" w:rsidRDefault="000D607C" w:rsidP="000D607C">
      <w:pPr>
        <w:rPr>
          <w:sz w:val="24"/>
          <w:szCs w:val="24"/>
        </w:rPr>
      </w:pPr>
      <w:r>
        <w:rPr>
          <w:sz w:val="24"/>
          <w:szCs w:val="24"/>
        </w:rPr>
        <w:t>Wobec sygnalisty nie mogą być podejmowane działania odwetowe ani próby lub groźby zastosowania takich działań.</w:t>
      </w:r>
    </w:p>
    <w:p w14:paraId="7C368648" w14:textId="77777777" w:rsidR="000D607C" w:rsidRPr="000D607C" w:rsidRDefault="000D607C">
      <w:pPr>
        <w:rPr>
          <w:b/>
          <w:bCs/>
          <w:sz w:val="24"/>
          <w:szCs w:val="24"/>
        </w:rPr>
      </w:pPr>
    </w:p>
    <w:p w14:paraId="47DB63E8" w14:textId="3E31E63F" w:rsidR="000D607C" w:rsidRDefault="000D60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Zgłoszenie wewnętrzne</w:t>
      </w:r>
    </w:p>
    <w:p w14:paraId="2C4ECC10" w14:textId="5A310D9E" w:rsidR="000D607C" w:rsidRPr="000D607C" w:rsidRDefault="000D607C">
      <w:pPr>
        <w:rPr>
          <w:sz w:val="24"/>
          <w:szCs w:val="24"/>
        </w:rPr>
      </w:pPr>
      <w:r>
        <w:rPr>
          <w:sz w:val="24"/>
          <w:szCs w:val="24"/>
        </w:rPr>
        <w:t>Zgłoszenie wewnętrzne - należy przez to rozumieć ustne lub pisemne przekazanie podmiotowi prawnemu informacji o naruszeniu prawa.</w:t>
      </w:r>
    </w:p>
    <w:p w14:paraId="7DE2339C" w14:textId="075829ED" w:rsidR="003B081D" w:rsidRPr="00547413" w:rsidRDefault="00083AE5">
      <w:pPr>
        <w:rPr>
          <w:b/>
          <w:bCs/>
          <w:sz w:val="24"/>
          <w:szCs w:val="24"/>
        </w:rPr>
      </w:pPr>
      <w:r w:rsidRPr="00547413">
        <w:rPr>
          <w:b/>
          <w:bCs/>
          <w:sz w:val="24"/>
          <w:szCs w:val="24"/>
        </w:rPr>
        <w:t xml:space="preserve">Centrum Usług Wspólnych Gminy Opoczno nie </w:t>
      </w:r>
      <w:r w:rsidR="006402F1">
        <w:rPr>
          <w:b/>
          <w:bCs/>
          <w:sz w:val="24"/>
          <w:szCs w:val="24"/>
        </w:rPr>
        <w:t>jest zobowiązane do ustalenia</w:t>
      </w:r>
      <w:r w:rsidRPr="00547413">
        <w:rPr>
          <w:b/>
          <w:bCs/>
          <w:sz w:val="24"/>
          <w:szCs w:val="24"/>
        </w:rPr>
        <w:t xml:space="preserve"> procedury zgłoszeń wewnętrznych z uwagi na wykonywanie pracy zarobkowej na rzecz Centrum poniżej 50 osób. (art. 23 ustawy z dnia 14 czerwca 2024 r. o ochronie sygnalistów -Dz. U. poz. 928).</w:t>
      </w:r>
    </w:p>
    <w:p w14:paraId="2204C1D8" w14:textId="62E88426" w:rsidR="000D607C" w:rsidRPr="000D607C" w:rsidRDefault="000D60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Zgłoszenie </w:t>
      </w:r>
      <w:r>
        <w:rPr>
          <w:b/>
          <w:bCs/>
          <w:sz w:val="32"/>
          <w:szCs w:val="32"/>
        </w:rPr>
        <w:t>zewnętrzne</w:t>
      </w:r>
    </w:p>
    <w:p w14:paraId="37872643" w14:textId="77777777" w:rsidR="00CE0C60" w:rsidRPr="00CE0C60" w:rsidRDefault="00CE0C60" w:rsidP="00CE0C60">
      <w:pPr>
        <w:rPr>
          <w:sz w:val="24"/>
          <w:szCs w:val="24"/>
        </w:rPr>
      </w:pPr>
      <w:r w:rsidRPr="00CE0C60">
        <w:rPr>
          <w:sz w:val="24"/>
          <w:szCs w:val="24"/>
        </w:rPr>
        <w:t xml:space="preserve">Zgłoszenie zewnętrzne może być dokonane ustnie lub pisemnie </w:t>
      </w:r>
    </w:p>
    <w:p w14:paraId="2825D8B3" w14:textId="3BD922F8" w:rsidR="00CE0C60" w:rsidRDefault="00CE0C60" w:rsidP="00CE0C60">
      <w:pPr>
        <w:rPr>
          <w:sz w:val="24"/>
          <w:szCs w:val="24"/>
        </w:rPr>
      </w:pPr>
      <w:r>
        <w:rPr>
          <w:sz w:val="24"/>
          <w:szCs w:val="24"/>
        </w:rPr>
        <w:t>Zgłoszenie zewnętrzne w formie dokumentowej może być dokonane:</w:t>
      </w:r>
    </w:p>
    <w:p w14:paraId="0F7DCCDE" w14:textId="4ACABFF2" w:rsidR="00CE0C60" w:rsidRDefault="00CE0C60" w:rsidP="00CE0C6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 postaci papierowej</w:t>
      </w:r>
      <w:r w:rsidR="00D35E2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35E26">
        <w:rPr>
          <w:sz w:val="24"/>
          <w:szCs w:val="24"/>
        </w:rPr>
        <w:t xml:space="preserve"> </w:t>
      </w:r>
      <w:r>
        <w:rPr>
          <w:sz w:val="24"/>
          <w:szCs w:val="24"/>
        </w:rPr>
        <w:t>na adres do korespondencji</w:t>
      </w:r>
      <w:r w:rsidR="00D35E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wskazany przez Rzecznika Praw Obywatelskich </w:t>
      </w:r>
      <w:r w:rsidR="00ED43F1">
        <w:rPr>
          <w:sz w:val="24"/>
          <w:szCs w:val="24"/>
        </w:rPr>
        <w:t xml:space="preserve">lub organ publiczny </w:t>
      </w:r>
      <w:r w:rsidR="00605786">
        <w:rPr>
          <w:sz w:val="24"/>
          <w:szCs w:val="24"/>
        </w:rPr>
        <w:t>przyjmujący zgłoszenie;</w:t>
      </w:r>
    </w:p>
    <w:p w14:paraId="3028F649" w14:textId="452E5900" w:rsidR="00605786" w:rsidRPr="00CE0C60" w:rsidRDefault="00605786" w:rsidP="00CE0C6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 postaci elektronicznej- na adres poczty elektronicznej lub adres elektronicznej skrzynki podawczej, lub adres do doręczeń elektronicznych</w:t>
      </w:r>
      <w:r w:rsidR="002E7C19">
        <w:rPr>
          <w:sz w:val="24"/>
          <w:szCs w:val="24"/>
        </w:rPr>
        <w:t>, wskazany przez Rzecznika Praw Obywatelskich lub organ publiczny  przyjmujący zgłoszenie lub za pośrednictwem przeznaczonego do tego formularza internetowego lub aplikacji wskazanej przez organ publiczny jako aplikacja właściwa do dokonywania zgłoszeń w postaci elektronicznej.</w:t>
      </w:r>
    </w:p>
    <w:p w14:paraId="08EB26C6" w14:textId="77777777" w:rsidR="00CE0C60" w:rsidRDefault="00083AE5">
      <w:pPr>
        <w:rPr>
          <w:sz w:val="24"/>
          <w:szCs w:val="24"/>
        </w:rPr>
      </w:pPr>
      <w:r>
        <w:rPr>
          <w:sz w:val="24"/>
          <w:szCs w:val="24"/>
        </w:rPr>
        <w:t>Sygnalista może dokonać zgłoszenia zewnętrznego bez uprzedniego dokonania zgłoszenia wewnętrznego.</w:t>
      </w:r>
      <w:r w:rsidR="00E82CE0">
        <w:rPr>
          <w:sz w:val="24"/>
          <w:szCs w:val="24"/>
        </w:rPr>
        <w:t xml:space="preserve"> </w:t>
      </w:r>
    </w:p>
    <w:p w14:paraId="06B242DC" w14:textId="1F8D405E" w:rsidR="00A77E53" w:rsidRDefault="00E82CE0">
      <w:pPr>
        <w:rPr>
          <w:sz w:val="24"/>
          <w:szCs w:val="24"/>
        </w:rPr>
      </w:pPr>
      <w:r>
        <w:rPr>
          <w:sz w:val="24"/>
          <w:szCs w:val="24"/>
        </w:rPr>
        <w:t>Zgłoszenie zewnętrzne jest przyjmowane przez Rzecznika Praw Obywatelskich  (</w:t>
      </w:r>
      <w:hyperlink r:id="rId5" w:history="1">
        <w:r w:rsidRPr="00E427F8">
          <w:rPr>
            <w:rStyle w:val="Hipercze"/>
            <w:sz w:val="24"/>
            <w:szCs w:val="24"/>
          </w:rPr>
          <w:t>BIURORZECZNIKA@BRPO.GOV.PL</w:t>
        </w:r>
      </w:hyperlink>
      <w:r>
        <w:rPr>
          <w:sz w:val="24"/>
          <w:szCs w:val="24"/>
        </w:rPr>
        <w:t>, e PUAP-Elektroniczna Skrzynka Podawcza:</w:t>
      </w:r>
      <w:r w:rsidR="005E4A7C">
        <w:rPr>
          <w:sz w:val="24"/>
          <w:szCs w:val="24"/>
        </w:rPr>
        <w:t xml:space="preserve"> </w:t>
      </w:r>
      <w:r>
        <w:rPr>
          <w:sz w:val="24"/>
          <w:szCs w:val="24"/>
        </w:rPr>
        <w:t>RPO/</w:t>
      </w:r>
      <w:proofErr w:type="spellStart"/>
      <w:r>
        <w:rPr>
          <w:sz w:val="24"/>
          <w:szCs w:val="24"/>
        </w:rPr>
        <w:t>SkrytkaESP</w:t>
      </w:r>
      <w:proofErr w:type="spellEnd"/>
      <w:r>
        <w:rPr>
          <w:sz w:val="24"/>
          <w:szCs w:val="24"/>
        </w:rPr>
        <w:t xml:space="preserve"> lub Formularzem online:</w:t>
      </w:r>
      <w:r w:rsidR="005E4A7C">
        <w:rPr>
          <w:sz w:val="24"/>
          <w:szCs w:val="24"/>
        </w:rPr>
        <w:t xml:space="preserve"> </w:t>
      </w:r>
      <w:r>
        <w:rPr>
          <w:sz w:val="24"/>
          <w:szCs w:val="24"/>
        </w:rPr>
        <w:t>https://bip.brpo.gov.pl ) albo organu publicznego.</w:t>
      </w:r>
    </w:p>
    <w:p w14:paraId="55C0C172" w14:textId="60EAF121" w:rsidR="00E82CE0" w:rsidRDefault="00E82CE0">
      <w:pPr>
        <w:rPr>
          <w:sz w:val="24"/>
          <w:szCs w:val="24"/>
        </w:rPr>
      </w:pPr>
      <w:r>
        <w:rPr>
          <w:sz w:val="24"/>
          <w:szCs w:val="24"/>
        </w:rPr>
        <w:t xml:space="preserve">Organ publiczny -należy przez to rozumieć naczelne i centralne organy administracji rządowej, terenowe </w:t>
      </w:r>
      <w:r w:rsidR="0082547E">
        <w:rPr>
          <w:sz w:val="24"/>
          <w:szCs w:val="24"/>
        </w:rPr>
        <w:t>organy administracji rządowej, organy jednostek samorządu terytorialnego, inne organy państwowe oraz inne podmioty  wykonujące z mocy prawa zadania z zakresu</w:t>
      </w:r>
      <w:r w:rsidR="00F43502">
        <w:rPr>
          <w:sz w:val="24"/>
          <w:szCs w:val="24"/>
        </w:rPr>
        <w:t xml:space="preserve"> </w:t>
      </w:r>
      <w:r w:rsidR="0082547E">
        <w:rPr>
          <w:sz w:val="24"/>
          <w:szCs w:val="24"/>
        </w:rPr>
        <w:t xml:space="preserve">administracji </w:t>
      </w:r>
      <w:r w:rsidR="00F43502">
        <w:rPr>
          <w:sz w:val="24"/>
          <w:szCs w:val="24"/>
        </w:rPr>
        <w:t>publiczne</w:t>
      </w:r>
      <w:r w:rsidR="008F6D1F">
        <w:rPr>
          <w:sz w:val="24"/>
          <w:szCs w:val="24"/>
        </w:rPr>
        <w:t>j</w:t>
      </w:r>
      <w:r w:rsidR="00F43502">
        <w:rPr>
          <w:sz w:val="24"/>
          <w:szCs w:val="24"/>
        </w:rPr>
        <w:t>, właściwe do podejmowania działań następczych w dziedzinach:</w:t>
      </w:r>
    </w:p>
    <w:p w14:paraId="1CE35833" w14:textId="515563BB" w:rsidR="00F43502" w:rsidRDefault="00F4350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korupcji;</w:t>
      </w:r>
    </w:p>
    <w:p w14:paraId="20B09924" w14:textId="77777777" w:rsidR="00F43502" w:rsidRDefault="00F4350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zamówienia publiczne;</w:t>
      </w:r>
    </w:p>
    <w:p w14:paraId="3CA42270" w14:textId="060C9416" w:rsidR="00F43502" w:rsidRDefault="00F4350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usług, produktów rynków finansowych;</w:t>
      </w:r>
    </w:p>
    <w:p w14:paraId="04A62965" w14:textId="3D918EBF" w:rsidR="00F43502" w:rsidRDefault="00F4350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przeciwdziałania praniu pieniędzy oraz finansowaniu terroryzmu;</w:t>
      </w:r>
    </w:p>
    <w:p w14:paraId="5EB2A303" w14:textId="56A9F23A" w:rsidR="00F43502" w:rsidRDefault="00F4350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bezpieczeństwa produktów i ich zgodności z wymogami;</w:t>
      </w:r>
    </w:p>
    <w:p w14:paraId="37E245EF" w14:textId="6C302CC2" w:rsidR="00F43502" w:rsidRDefault="00F4350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bezpieczeństwa transportu;</w:t>
      </w:r>
    </w:p>
    <w:p w14:paraId="0C8150F2" w14:textId="63BF314B" w:rsidR="00F43502" w:rsidRDefault="00F4350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ochrony środowiska;</w:t>
      </w:r>
    </w:p>
    <w:p w14:paraId="0EA464BC" w14:textId="4B0A4FC0" w:rsidR="00F43502" w:rsidRDefault="00F4350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ochrony radiologicznej i bezpieczeństwa jądrowego;</w:t>
      </w:r>
    </w:p>
    <w:p w14:paraId="1FBD173A" w14:textId="3438FFB5" w:rsidR="00F43502" w:rsidRDefault="00F4350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bezpieczeństwa żywności i pasz;</w:t>
      </w:r>
    </w:p>
    <w:p w14:paraId="3EDB96CB" w14:textId="6632B6D2" w:rsidR="00F43502" w:rsidRDefault="003C745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zdrowia i dobrostanu zwierząt;</w:t>
      </w:r>
    </w:p>
    <w:p w14:paraId="0B7A1AA2" w14:textId="6CDA72C3" w:rsidR="003C7452" w:rsidRDefault="003C745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zdrowia publicznego;</w:t>
      </w:r>
    </w:p>
    <w:p w14:paraId="08F8F536" w14:textId="32EF9AF0" w:rsidR="003C7452" w:rsidRDefault="003C745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ochrony konsumentów;</w:t>
      </w:r>
    </w:p>
    <w:p w14:paraId="0370D76B" w14:textId="3296334D" w:rsidR="003C7452" w:rsidRDefault="003C745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ochrony prywatności i danych osobowych;</w:t>
      </w:r>
    </w:p>
    <w:p w14:paraId="37919ECA" w14:textId="771FEF3D" w:rsidR="003C7452" w:rsidRDefault="003C745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bezpieczeństwa sieci i systemów teleinformatycznych;</w:t>
      </w:r>
    </w:p>
    <w:p w14:paraId="26824DDD" w14:textId="19998B7A" w:rsidR="003C7452" w:rsidRDefault="003C745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interesów finansowych Skarbu Państwa Rzeczypospolitej Polskiej, jednostki samorządu terytorialnego oraz Unii Europejskiej</w:t>
      </w:r>
      <w:r w:rsidR="001346D5">
        <w:rPr>
          <w:sz w:val="24"/>
          <w:szCs w:val="24"/>
        </w:rPr>
        <w:t>;</w:t>
      </w:r>
    </w:p>
    <w:p w14:paraId="37CD81F0" w14:textId="3F46B719" w:rsidR="001346D5" w:rsidRDefault="00250F5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rynku wewnętrznego Unii Europejskiej, w tym publicznoprawnych  zasad konkurencji i pomocy państwa  oraz opodatkowania osób prawnych;</w:t>
      </w:r>
    </w:p>
    <w:p w14:paraId="52821CFD" w14:textId="30315B60" w:rsidR="00250F52" w:rsidRDefault="00250F52" w:rsidP="00F4350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konstytucyjnych wolności i praw człowieka i obywatela – występujące w stosunkach jednostki z organami władzy publicznej i niezwiązane z dziedzinami wskazanymi </w:t>
      </w:r>
      <w:r w:rsidR="001276EB">
        <w:rPr>
          <w:sz w:val="24"/>
          <w:szCs w:val="24"/>
        </w:rPr>
        <w:t>w punktach 1-16.</w:t>
      </w:r>
    </w:p>
    <w:p w14:paraId="04F5F1A8" w14:textId="77777777" w:rsidR="00275D9E" w:rsidRDefault="00275D9E" w:rsidP="00275D9E">
      <w:pPr>
        <w:rPr>
          <w:sz w:val="24"/>
          <w:szCs w:val="24"/>
        </w:rPr>
      </w:pPr>
    </w:p>
    <w:p w14:paraId="5C98A55C" w14:textId="0290C293" w:rsidR="00275D9E" w:rsidRPr="009249AD" w:rsidRDefault="00275D9E" w:rsidP="00275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Usług Wspólnych Gminy Opoczno</w:t>
      </w:r>
      <w:r w:rsidRPr="00924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 jest:</w:t>
      </w:r>
    </w:p>
    <w:p w14:paraId="670C9CA7" w14:textId="62BAB774" w:rsidR="00275D9E" w:rsidRPr="009249AD" w:rsidRDefault="00275D9E" w:rsidP="00275D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4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organem publicznym w rozumieniu art. 2 pkt 6 </w:t>
      </w:r>
      <w:r w:rsidRPr="0054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ww. </w:t>
      </w:r>
      <w:r w:rsidRPr="00924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ustawy o ochronie sygnalistów,</w:t>
      </w:r>
    </w:p>
    <w:p w14:paraId="6459A937" w14:textId="77777777" w:rsidR="00275D9E" w:rsidRPr="00547413" w:rsidRDefault="00275D9E" w:rsidP="00275D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4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podmiotem wykonującym zadania z zakresu administracji publicznej w ramach działań następczych w zakresie ujętym w art. 3 ust. 1 </w:t>
      </w:r>
      <w:r w:rsidRPr="0054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ww. </w:t>
      </w:r>
      <w:r w:rsidRPr="00924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ustawy o ochronie sygnalistów.</w:t>
      </w:r>
    </w:p>
    <w:p w14:paraId="25775AD1" w14:textId="535CABA4" w:rsidR="00275D9E" w:rsidRPr="00547413" w:rsidRDefault="00275D9E" w:rsidP="00275D9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-w </w:t>
      </w:r>
      <w:r w:rsidRPr="00924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związku z tym nie </w:t>
      </w:r>
      <w:r w:rsidRPr="0054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 prawa do </w:t>
      </w:r>
      <w:r w:rsidRPr="00924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przyjm</w:t>
      </w:r>
      <w:r w:rsidRPr="0054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owania </w:t>
      </w:r>
      <w:r w:rsidR="0054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rozpatrywania </w:t>
      </w:r>
      <w:r w:rsidRPr="00924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zgłoszeń zewnętrznyc</w:t>
      </w:r>
      <w:r w:rsidRPr="0054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h.</w:t>
      </w:r>
    </w:p>
    <w:p w14:paraId="71E29724" w14:textId="62E50C89" w:rsidR="001276EB" w:rsidRPr="000D607C" w:rsidRDefault="000D607C" w:rsidP="001276EB">
      <w:pPr>
        <w:ind w:left="360"/>
        <w:rPr>
          <w:b/>
          <w:bCs/>
          <w:sz w:val="32"/>
          <w:szCs w:val="32"/>
        </w:rPr>
      </w:pPr>
      <w:r w:rsidRPr="000D607C">
        <w:rPr>
          <w:b/>
          <w:bCs/>
          <w:sz w:val="32"/>
          <w:szCs w:val="32"/>
        </w:rPr>
        <w:t>Ujawnienie publiczne</w:t>
      </w:r>
    </w:p>
    <w:p w14:paraId="19526CC8" w14:textId="00E06361" w:rsidR="001276EB" w:rsidRDefault="002E7C19" w:rsidP="001276E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Ujawnienie publiczne -należy przez to rozumieć podanie informacji o naruszeniu </w:t>
      </w:r>
      <w:r w:rsidR="00653566">
        <w:rPr>
          <w:sz w:val="24"/>
          <w:szCs w:val="24"/>
        </w:rPr>
        <w:t>prawa do wiadomości publicznej.</w:t>
      </w:r>
    </w:p>
    <w:p w14:paraId="66948AF6" w14:textId="16A52591" w:rsidR="00B2560A" w:rsidRDefault="00275D9E" w:rsidP="001276EB">
      <w:pPr>
        <w:ind w:left="360"/>
        <w:rPr>
          <w:sz w:val="24"/>
          <w:szCs w:val="24"/>
        </w:rPr>
      </w:pPr>
      <w:r>
        <w:rPr>
          <w:sz w:val="24"/>
          <w:szCs w:val="24"/>
        </w:rPr>
        <w:t>Sygnalista dokonujący ujawnienia publicznego podlega ochronie, jeżeli dokona:</w:t>
      </w:r>
    </w:p>
    <w:p w14:paraId="0CEF5CF5" w14:textId="159ED88F" w:rsidR="00B2560A" w:rsidRDefault="00275D9E" w:rsidP="00275D9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zgłoszenia</w:t>
      </w:r>
      <w:r w:rsidR="00547413">
        <w:rPr>
          <w:sz w:val="24"/>
          <w:szCs w:val="24"/>
        </w:rPr>
        <w:t xml:space="preserve"> wewnętrznego,</w:t>
      </w:r>
      <w:r>
        <w:rPr>
          <w:sz w:val="24"/>
          <w:szCs w:val="24"/>
        </w:rPr>
        <w:t xml:space="preserve"> a następnie zgłoszenia zewnętrznego, a podmiot prawny, </w:t>
      </w:r>
      <w:r w:rsidR="00547413">
        <w:rPr>
          <w:sz w:val="24"/>
          <w:szCs w:val="24"/>
        </w:rPr>
        <w:t>a następnie organ publiczny w terminie na przekazanie informacji zwrotnej ustalonym w procedurze wewnętrznej, a następnie w terminie na przekazanie informacji zwrotnej ustalonym w procedurze zewnętrznej organu publicznego nie podejmuje żadnych odpowiednich działań następczych ani nie przekażą sygnaliście informacji zwrotnej lub</w:t>
      </w:r>
    </w:p>
    <w:p w14:paraId="1D875DCA" w14:textId="0A8B90F3" w:rsidR="00547413" w:rsidRPr="00275D9E" w:rsidRDefault="00547413" w:rsidP="00275D9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od razu zgłoszenia zewnętrznego, a organ publiczny w terminie </w:t>
      </w:r>
      <w:r w:rsidR="0030288C">
        <w:rPr>
          <w:sz w:val="24"/>
          <w:szCs w:val="24"/>
        </w:rPr>
        <w:t xml:space="preserve">informacji zwrotnej ustalonym w swojej procedurze zewnętrznej nie podejmuje żadnych odpowiednich działań następczych ani nie przekaże sygnaliście informacji zwrotnej </w:t>
      </w:r>
    </w:p>
    <w:p w14:paraId="214A9278" w14:textId="32105059" w:rsidR="001276EB" w:rsidRDefault="0030288C" w:rsidP="0030288C">
      <w:pPr>
        <w:ind w:left="1080"/>
        <w:rPr>
          <w:sz w:val="24"/>
          <w:szCs w:val="24"/>
        </w:rPr>
      </w:pPr>
      <w:r>
        <w:rPr>
          <w:sz w:val="24"/>
          <w:szCs w:val="24"/>
        </w:rPr>
        <w:t>-chyba że sygnalista nie podał adresu do kontaktu, na który należy przekazać taka informację.</w:t>
      </w:r>
    </w:p>
    <w:p w14:paraId="5FCC72B5" w14:textId="660AC185" w:rsidR="0030288C" w:rsidRDefault="0030288C" w:rsidP="0030288C">
      <w:pPr>
        <w:rPr>
          <w:sz w:val="24"/>
          <w:szCs w:val="24"/>
        </w:rPr>
      </w:pPr>
      <w:r>
        <w:rPr>
          <w:sz w:val="24"/>
          <w:szCs w:val="24"/>
        </w:rPr>
        <w:t xml:space="preserve">       Sygnalista dokonujący ujawnienia publicznego podlega ochronie także w przypadku, gdy </w:t>
      </w:r>
      <w:r w:rsidR="007A6B43">
        <w:rPr>
          <w:sz w:val="24"/>
          <w:szCs w:val="24"/>
        </w:rPr>
        <w:t>ma uzasadnione podstawy sądzić, że:</w:t>
      </w:r>
    </w:p>
    <w:p w14:paraId="6711E238" w14:textId="6A1F98CA" w:rsidR="007A6B43" w:rsidRDefault="007A6B43" w:rsidP="007A6B43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naruszenie może stanowić bezpośrednie lub oczywiste zagro</w:t>
      </w:r>
      <w:r w:rsidR="00C506B1">
        <w:rPr>
          <w:sz w:val="24"/>
          <w:szCs w:val="24"/>
        </w:rPr>
        <w:t>ż</w:t>
      </w:r>
      <w:r>
        <w:rPr>
          <w:sz w:val="24"/>
          <w:szCs w:val="24"/>
        </w:rPr>
        <w:t>enie interesu publicznego</w:t>
      </w:r>
      <w:r w:rsidR="00C506B1">
        <w:rPr>
          <w:sz w:val="24"/>
          <w:szCs w:val="24"/>
        </w:rPr>
        <w:t>, w szczególności gdy istnieje ryzyko nieodwracalnej szkody, lub</w:t>
      </w:r>
    </w:p>
    <w:p w14:paraId="6E60C3D0" w14:textId="3B2AC00D" w:rsidR="00C506B1" w:rsidRDefault="00C506B1" w:rsidP="007A6B43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dokonanie zgłoszenia zewnętrznego narazi sygnalistę na działania odwetowe, lub</w:t>
      </w:r>
    </w:p>
    <w:p w14:paraId="100C18DE" w14:textId="3A6F4CF9" w:rsidR="00C506B1" w:rsidRDefault="00C506B1" w:rsidP="007A6B43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dokonania zgłoszenia zewnętrznego istnieje niewielkie prawdopodobieństwo skutecznego przeciwdziałania naruszenia prawa z uwagi na szczególne </w:t>
      </w:r>
      <w:r w:rsidR="00880388">
        <w:rPr>
          <w:sz w:val="24"/>
          <w:szCs w:val="24"/>
        </w:rPr>
        <w:t>okoliczności sprawy, takie jak możliwość ukrycia lub zniszczenia dowodów, istnienia zmowy między organem publicznym a sprawcą naruszenia lub udziału organu publicznego w naruszeniu.</w:t>
      </w:r>
    </w:p>
    <w:p w14:paraId="5B6519D4" w14:textId="4687E65B" w:rsidR="00880388" w:rsidRDefault="00880388" w:rsidP="00880388">
      <w:pPr>
        <w:ind w:left="360"/>
        <w:rPr>
          <w:sz w:val="24"/>
          <w:szCs w:val="24"/>
        </w:rPr>
      </w:pPr>
      <w:r>
        <w:rPr>
          <w:sz w:val="24"/>
          <w:szCs w:val="24"/>
        </w:rPr>
        <w:t>Przy ocenie, czy działanie następcze jest odpowiednie, uwzględnia się w szczególności czynności podjęte w celu zweryfikowania informacji o naruszeniu, prawidłowość oceny informacji o naruszeniu oraz adekwatność środków podjętych w następstwie stwierdzenia naruszenia, w tym-odpowiednim przypadku- w celu zapobiegania dalszym naruszeniom, z uwzględnieniem wagi naruszenia.</w:t>
      </w:r>
    </w:p>
    <w:p w14:paraId="0B6F97F6" w14:textId="77777777" w:rsidR="00880388" w:rsidRDefault="00880388" w:rsidP="00880388">
      <w:pPr>
        <w:ind w:left="360"/>
        <w:rPr>
          <w:sz w:val="24"/>
          <w:szCs w:val="24"/>
        </w:rPr>
      </w:pPr>
    </w:p>
    <w:p w14:paraId="5CE677CE" w14:textId="51FC0AE6" w:rsidR="00880388" w:rsidRPr="00880388" w:rsidRDefault="00880388" w:rsidP="0088038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Wyżej opisanych procedur w ramach ujawnienia publicznego nie stosuje się, jeżeli </w:t>
      </w:r>
      <w:r w:rsidR="00653D7F">
        <w:rPr>
          <w:sz w:val="24"/>
          <w:szCs w:val="24"/>
        </w:rPr>
        <w:t>przekazanie informacji o naruszeniu prawa następuje bezpośrednio do prasy i stosuje się ustawę z dnia 26 stycznia 1984 r. Prawo prasowe (Dz. U. z 2018 r. poz. 1914)</w:t>
      </w:r>
    </w:p>
    <w:sectPr w:rsidR="00880388" w:rsidRPr="00880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11D4"/>
    <w:multiLevelType w:val="hybridMultilevel"/>
    <w:tmpl w:val="31FCF5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85A96"/>
    <w:multiLevelType w:val="hybridMultilevel"/>
    <w:tmpl w:val="DDA22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3731B"/>
    <w:multiLevelType w:val="hybridMultilevel"/>
    <w:tmpl w:val="5492F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45DF9"/>
    <w:multiLevelType w:val="hybridMultilevel"/>
    <w:tmpl w:val="B71E8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C1698"/>
    <w:multiLevelType w:val="multilevel"/>
    <w:tmpl w:val="048A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D4995"/>
    <w:multiLevelType w:val="hybridMultilevel"/>
    <w:tmpl w:val="25EAC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43367">
    <w:abstractNumId w:val="5"/>
  </w:num>
  <w:num w:numId="2" w16cid:durableId="559098036">
    <w:abstractNumId w:val="2"/>
  </w:num>
  <w:num w:numId="3" w16cid:durableId="486747654">
    <w:abstractNumId w:val="3"/>
  </w:num>
  <w:num w:numId="4" w16cid:durableId="1862744292">
    <w:abstractNumId w:val="4"/>
  </w:num>
  <w:num w:numId="5" w16cid:durableId="1994527604">
    <w:abstractNumId w:val="0"/>
  </w:num>
  <w:num w:numId="6" w16cid:durableId="142083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DD"/>
    <w:rsid w:val="00077F1C"/>
    <w:rsid w:val="00083AE5"/>
    <w:rsid w:val="000D607C"/>
    <w:rsid w:val="001276EB"/>
    <w:rsid w:val="001346D5"/>
    <w:rsid w:val="00250F52"/>
    <w:rsid w:val="00275D9E"/>
    <w:rsid w:val="002B13C2"/>
    <w:rsid w:val="002E7C19"/>
    <w:rsid w:val="0030288C"/>
    <w:rsid w:val="003B081D"/>
    <w:rsid w:val="003C7452"/>
    <w:rsid w:val="004A6A6C"/>
    <w:rsid w:val="005212DD"/>
    <w:rsid w:val="0054457F"/>
    <w:rsid w:val="00547413"/>
    <w:rsid w:val="005E4A7C"/>
    <w:rsid w:val="00605786"/>
    <w:rsid w:val="006402F1"/>
    <w:rsid w:val="00653566"/>
    <w:rsid w:val="00653D7F"/>
    <w:rsid w:val="00732A75"/>
    <w:rsid w:val="007A6B43"/>
    <w:rsid w:val="007C600C"/>
    <w:rsid w:val="0082547E"/>
    <w:rsid w:val="008338D6"/>
    <w:rsid w:val="00880388"/>
    <w:rsid w:val="008B1923"/>
    <w:rsid w:val="008F6D1F"/>
    <w:rsid w:val="00911BE2"/>
    <w:rsid w:val="00A17B02"/>
    <w:rsid w:val="00A45D62"/>
    <w:rsid w:val="00A77E53"/>
    <w:rsid w:val="00B2560A"/>
    <w:rsid w:val="00B70EBC"/>
    <w:rsid w:val="00C506B1"/>
    <w:rsid w:val="00CC5590"/>
    <w:rsid w:val="00CE0C60"/>
    <w:rsid w:val="00D35E26"/>
    <w:rsid w:val="00E82CE0"/>
    <w:rsid w:val="00ED43F1"/>
    <w:rsid w:val="00ED44AF"/>
    <w:rsid w:val="00F43502"/>
    <w:rsid w:val="00F6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3FA8"/>
  <w15:chartTrackingRefBased/>
  <w15:docId w15:val="{707EFE1F-60A2-486C-8923-BDFA5F4F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2C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CE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4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RZECZNIKA@BR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CUWGO .</dc:creator>
  <cp:keywords/>
  <dc:description/>
  <cp:lastModifiedBy>CUWGO .</cp:lastModifiedBy>
  <cp:revision>18</cp:revision>
  <cp:lastPrinted>2024-11-26T12:10:00Z</cp:lastPrinted>
  <dcterms:created xsi:type="dcterms:W3CDTF">2024-11-25T11:18:00Z</dcterms:created>
  <dcterms:modified xsi:type="dcterms:W3CDTF">2024-12-16T08:50:00Z</dcterms:modified>
</cp:coreProperties>
</file>